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6F5" w:rsidRPr="00FD06F5" w:rsidRDefault="006E727E" w:rsidP="00FD06F5">
      <w:pPr>
        <w:pStyle w:val="a3"/>
        <w:tabs>
          <w:tab w:val="left" w:pos="742"/>
        </w:tabs>
        <w:spacing w:line="360" w:lineRule="auto"/>
        <w:ind w:firstLine="0"/>
        <w:jc w:val="center"/>
        <w:rPr>
          <w:b/>
        </w:rPr>
      </w:pPr>
      <w:r w:rsidRPr="00FD06F5">
        <w:rPr>
          <w:b/>
        </w:rPr>
        <w:t xml:space="preserve">Типовые нарушения, допускаемые </w:t>
      </w:r>
    </w:p>
    <w:p w:rsidR="006E727E" w:rsidRPr="00FD06F5" w:rsidRDefault="006E727E" w:rsidP="0011077C">
      <w:pPr>
        <w:pStyle w:val="a3"/>
        <w:tabs>
          <w:tab w:val="left" w:pos="742"/>
        </w:tabs>
        <w:spacing w:line="360" w:lineRule="auto"/>
        <w:ind w:firstLine="0"/>
        <w:jc w:val="center"/>
        <w:rPr>
          <w:b/>
        </w:rPr>
      </w:pPr>
      <w:bookmarkStart w:id="0" w:name="_GoBack"/>
      <w:r w:rsidRPr="00FD06F5">
        <w:rPr>
          <w:b/>
        </w:rPr>
        <w:t>государственными (муниципальными) за</w:t>
      </w:r>
      <w:r w:rsidR="00FD06F5" w:rsidRPr="00FD06F5">
        <w:rPr>
          <w:b/>
        </w:rPr>
        <w:t xml:space="preserve">казчиками. </w:t>
      </w:r>
      <w:r w:rsidR="0011077C">
        <w:rPr>
          <w:b/>
        </w:rPr>
        <w:t xml:space="preserve">                                      </w:t>
      </w:r>
      <w:r w:rsidR="00FD06F5" w:rsidRPr="00FD06F5">
        <w:rPr>
          <w:b/>
        </w:rPr>
        <w:t>Практика УФАС России по КЧР</w:t>
      </w:r>
    </w:p>
    <w:bookmarkEnd w:id="0"/>
    <w:p w:rsidR="006E727E" w:rsidRPr="00FD06F5" w:rsidRDefault="006E727E" w:rsidP="00FD06F5">
      <w:pPr>
        <w:pStyle w:val="a3"/>
        <w:widowControl w:val="0"/>
        <w:spacing w:line="360" w:lineRule="auto"/>
        <w:ind w:firstLine="600"/>
        <w:rPr>
          <w:color w:val="000000"/>
        </w:rPr>
      </w:pPr>
    </w:p>
    <w:p w:rsidR="006E727E" w:rsidRPr="00FD06F5" w:rsidRDefault="006E727E" w:rsidP="00FD06F5">
      <w:pPr>
        <w:pStyle w:val="a4"/>
        <w:spacing w:line="360" w:lineRule="auto"/>
        <w:ind w:left="284"/>
      </w:pPr>
      <w:r w:rsidRPr="00FD06F5">
        <w:t>Отделом контроля закупок за период с 01.01.2022 по 25.11.2022 рассмотрено 120 жалоб на действия заказчиков, в том числе по национальным проектам «Образование», «Здравоохранение», «Автомобильные дороги» - 19.</w:t>
      </w:r>
    </w:p>
    <w:p w:rsidR="006E727E" w:rsidRPr="00FD06F5" w:rsidRDefault="006E727E" w:rsidP="00FD06F5">
      <w:pPr>
        <w:pStyle w:val="a4"/>
        <w:spacing w:line="360" w:lineRule="auto"/>
        <w:ind w:left="284"/>
      </w:pPr>
      <w:r w:rsidRPr="00FD06F5">
        <w:t>62 из которых, признаны обоснованными, выдано 31 предписания об устранении нарушений законодательства о контрактной системе.</w:t>
      </w:r>
    </w:p>
    <w:p w:rsidR="006E727E" w:rsidRPr="00FD06F5" w:rsidRDefault="006E727E" w:rsidP="00FD06F5">
      <w:pPr>
        <w:pStyle w:val="a4"/>
        <w:spacing w:line="360" w:lineRule="auto"/>
        <w:ind w:left="284"/>
      </w:pPr>
      <w:r w:rsidRPr="00FD06F5">
        <w:t>Проведено 42 внеплановых (камеральных) проверок, в том числе 10 по обращению Прокуратуры КЧР, 6 по обращению Управления Федерального казначейства КЧР, 7 по обращению Контрольно-счетной палаты КЧР, по 28 выявлены нарушения требований Закона о контрактной системе.</w:t>
      </w:r>
    </w:p>
    <w:p w:rsidR="006E727E" w:rsidRPr="00FD06F5" w:rsidRDefault="006E727E" w:rsidP="00FD06F5">
      <w:pPr>
        <w:pStyle w:val="a4"/>
        <w:spacing w:line="360" w:lineRule="auto"/>
        <w:ind w:left="284"/>
      </w:pPr>
      <w:r w:rsidRPr="00FD06F5">
        <w:t>Рассмотрено 29 обращений о включении сведений в реестр недобросовестных поставщиков (подрядчиков, исполнителей), по 8 из которых сведения включены в реестр недобросовестных поставщиков (подрядчиков, исполнителей) сроком на 2 года.</w:t>
      </w:r>
    </w:p>
    <w:p w:rsidR="006E727E" w:rsidRPr="00FD06F5" w:rsidRDefault="006E727E" w:rsidP="00FD06F5">
      <w:pPr>
        <w:pStyle w:val="a3"/>
        <w:widowControl w:val="0"/>
        <w:spacing w:line="360" w:lineRule="auto"/>
        <w:ind w:firstLine="600"/>
        <w:rPr>
          <w:b/>
          <w:color w:val="000000"/>
        </w:rPr>
      </w:pPr>
      <w:r w:rsidRPr="00FD06F5">
        <w:t>Рассмотрено 317 административных дел на общую сумму 3 307 000, 00 рублей.</w:t>
      </w:r>
    </w:p>
    <w:p w:rsidR="006E727E" w:rsidRPr="00FD06F5" w:rsidRDefault="006E727E" w:rsidP="00FD06F5">
      <w:pPr>
        <w:pStyle w:val="a3"/>
        <w:widowControl w:val="0"/>
        <w:spacing w:line="360" w:lineRule="auto"/>
        <w:ind w:firstLine="600"/>
        <w:rPr>
          <w:b/>
          <w:color w:val="000000"/>
        </w:rPr>
      </w:pPr>
    </w:p>
    <w:p w:rsidR="006E727E" w:rsidRPr="00FD06F5" w:rsidRDefault="006E727E" w:rsidP="00FD06F5">
      <w:pPr>
        <w:pStyle w:val="a3"/>
        <w:widowControl w:val="0"/>
        <w:spacing w:line="360" w:lineRule="auto"/>
        <w:ind w:firstLine="600"/>
        <w:rPr>
          <w:b/>
          <w:color w:val="000000"/>
        </w:rPr>
      </w:pPr>
      <w:r w:rsidRPr="00FD06F5">
        <w:rPr>
          <w:b/>
          <w:color w:val="000000"/>
        </w:rPr>
        <w:t>Несколько примеров из практики Карачаево-Черкесского УФАС России</w:t>
      </w:r>
    </w:p>
    <w:p w:rsidR="006E727E" w:rsidRPr="00FD06F5" w:rsidRDefault="006E727E" w:rsidP="00FD06F5">
      <w:pPr>
        <w:pStyle w:val="a3"/>
        <w:widowControl w:val="0"/>
        <w:spacing w:line="360" w:lineRule="auto"/>
        <w:ind w:firstLine="600"/>
      </w:pPr>
      <w:r w:rsidRPr="00FD06F5">
        <w:rPr>
          <w:b/>
          <w:color w:val="000000"/>
        </w:rPr>
        <w:t xml:space="preserve">1. </w:t>
      </w:r>
      <w:r w:rsidRPr="00FD06F5">
        <w:rPr>
          <w:color w:val="000000"/>
        </w:rPr>
        <w:t>Согласно жалобе заявителя</w:t>
      </w:r>
      <w:r w:rsidRPr="00FD06F5">
        <w:rPr>
          <w:b/>
          <w:color w:val="000000"/>
        </w:rPr>
        <w:t xml:space="preserve"> </w:t>
      </w:r>
      <w:proofErr w:type="gramStart"/>
      <w:r w:rsidRPr="00FD06F5">
        <w:rPr>
          <w:i/>
        </w:rPr>
        <w:t>Неправомерно</w:t>
      </w:r>
      <w:proofErr w:type="gramEnd"/>
      <w:r w:rsidRPr="00FD06F5">
        <w:rPr>
          <w:i/>
        </w:rPr>
        <w:t xml:space="preserve"> определен победитель электронного аукциона в рамках Постановления Правительства РФ от 05.02.2015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6E727E" w:rsidRPr="00FD06F5" w:rsidRDefault="006E727E" w:rsidP="00FD06F5">
      <w:pPr>
        <w:pStyle w:val="a3"/>
        <w:widowControl w:val="0"/>
        <w:spacing w:line="360" w:lineRule="auto"/>
        <w:ind w:firstLine="600"/>
      </w:pPr>
      <w:r w:rsidRPr="00FD06F5">
        <w:t>Заказчиком опубликован электронный аукцион.</w:t>
      </w:r>
    </w:p>
    <w:p w:rsidR="006E727E" w:rsidRPr="00FD06F5" w:rsidRDefault="006E727E" w:rsidP="00FD06F5">
      <w:pPr>
        <w:pStyle w:val="a3"/>
        <w:widowControl w:val="0"/>
        <w:spacing w:line="360" w:lineRule="auto"/>
        <w:ind w:firstLine="600"/>
      </w:pPr>
      <w:r w:rsidRPr="00FD06F5">
        <w:t>Как следует из протокола подведения итогов электронного аукциона, 6 заявок участников закупки, (№1, №2, №3, №4, №6, №7) были признаны соответствующими требованиям аукционной документации.</w:t>
      </w:r>
    </w:p>
    <w:p w:rsidR="006E727E" w:rsidRPr="00FD06F5" w:rsidRDefault="006E727E" w:rsidP="00FD06F5">
      <w:pPr>
        <w:pStyle w:val="a3"/>
        <w:widowControl w:val="0"/>
        <w:spacing w:line="360" w:lineRule="auto"/>
        <w:ind w:firstLine="600"/>
      </w:pPr>
      <w:r w:rsidRPr="00FD06F5">
        <w:t>Победителем электронного аукциона был признан 1 участник под номером №2.</w:t>
      </w:r>
    </w:p>
    <w:p w:rsidR="006E727E" w:rsidRPr="00FD06F5" w:rsidRDefault="006E727E" w:rsidP="00FD06F5">
      <w:pPr>
        <w:pStyle w:val="a3"/>
        <w:widowControl w:val="0"/>
        <w:spacing w:line="360" w:lineRule="auto"/>
        <w:ind w:firstLine="600"/>
      </w:pPr>
      <w:r w:rsidRPr="00FD06F5">
        <w:lastRenderedPageBreak/>
        <w:t>Однако, проанализировав вторые части заявок участников закупки, Комиссия установила, что заявки участников закупки содержат предложения о поставке медицинских изделий, происходящих из иностранных государств, а именно: Китай, Германия.</w:t>
      </w:r>
    </w:p>
    <w:p w:rsidR="006E727E" w:rsidRPr="00FD06F5" w:rsidRDefault="006E727E" w:rsidP="00FD06F5">
      <w:pPr>
        <w:pStyle w:val="a3"/>
        <w:widowControl w:val="0"/>
        <w:spacing w:line="360" w:lineRule="auto"/>
        <w:ind w:firstLine="600"/>
      </w:pPr>
      <w:r w:rsidRPr="00FD06F5">
        <w:t>При этом три заявки полностью соответствуют условиям Постановления №102.</w:t>
      </w:r>
    </w:p>
    <w:p w:rsidR="006E727E" w:rsidRPr="00FD06F5" w:rsidRDefault="006E727E" w:rsidP="00FD06F5">
      <w:pPr>
        <w:pStyle w:val="a3"/>
        <w:widowControl w:val="0"/>
        <w:spacing w:line="360" w:lineRule="auto"/>
        <w:ind w:firstLine="600"/>
      </w:pPr>
      <w:r w:rsidRPr="00FD06F5">
        <w:t>Указанное обстоятельство в силу пункта 2 Постановления № 102 является основанием для отклонения заявок №1, №2, №3.</w:t>
      </w:r>
    </w:p>
    <w:p w:rsidR="006E727E" w:rsidRPr="00FD06F5" w:rsidRDefault="006E727E" w:rsidP="00FD06F5">
      <w:pPr>
        <w:pStyle w:val="a3"/>
        <w:widowControl w:val="0"/>
        <w:spacing w:line="360" w:lineRule="auto"/>
        <w:ind w:firstLine="600"/>
      </w:pPr>
      <w:r w:rsidRPr="00FD06F5">
        <w:t>Однако аукционная комиссия Заказчика проигнорировала условие, содержащееся в Постановлении №102, и в нарушение Закона о контрактной системе признала заявки участников закупки №1, №2, №3 соответствующими требованиям аукционной документации.</w:t>
      </w:r>
    </w:p>
    <w:p w:rsidR="006E727E" w:rsidRPr="00FD06F5" w:rsidRDefault="006E727E" w:rsidP="00FD06F5">
      <w:pPr>
        <w:pStyle w:val="a3"/>
        <w:widowControl w:val="0"/>
        <w:spacing w:line="360" w:lineRule="auto"/>
        <w:ind w:firstLine="600"/>
        <w:rPr>
          <w:rStyle w:val="FontStyle13"/>
          <w:color w:val="000000"/>
          <w:sz w:val="28"/>
          <w:szCs w:val="28"/>
        </w:rPr>
      </w:pPr>
      <w:r w:rsidRPr="00FD06F5">
        <w:t>Учитывая изложенное, Комиссия Карачаево-Черкесского УФАС России, приходит к выводу, что действия Единой комиссии Заказчика, нарушают требования Закона о контрактной системе</w:t>
      </w:r>
      <w:r w:rsidRPr="00FD06F5">
        <w:rPr>
          <w:rStyle w:val="FontStyle13"/>
          <w:color w:val="000000"/>
          <w:sz w:val="28"/>
          <w:szCs w:val="28"/>
        </w:rPr>
        <w:t>.</w:t>
      </w:r>
    </w:p>
    <w:p w:rsidR="006E727E" w:rsidRPr="00FD06F5" w:rsidRDefault="006E727E" w:rsidP="00FD06F5">
      <w:pPr>
        <w:spacing w:after="0" w:line="360" w:lineRule="auto"/>
        <w:ind w:firstLine="570"/>
        <w:jc w:val="both"/>
        <w:rPr>
          <w:rStyle w:val="FontStyle13"/>
          <w:color w:val="000000"/>
          <w:sz w:val="28"/>
          <w:szCs w:val="28"/>
        </w:rPr>
      </w:pPr>
    </w:p>
    <w:p w:rsidR="006E727E" w:rsidRPr="00FD06F5" w:rsidRDefault="006E727E" w:rsidP="00FD06F5">
      <w:pPr>
        <w:pStyle w:val="a4"/>
        <w:spacing w:line="360" w:lineRule="auto"/>
        <w:ind w:firstLine="567"/>
        <w:rPr>
          <w:color w:val="000000"/>
          <w:lang w:eastAsia="zh-CN"/>
        </w:rPr>
      </w:pPr>
      <w:r w:rsidRPr="00FD06F5">
        <w:rPr>
          <w:b/>
        </w:rPr>
        <w:t xml:space="preserve">2. </w:t>
      </w:r>
      <w:r w:rsidRPr="00FD06F5">
        <w:rPr>
          <w:color w:val="000000"/>
        </w:rPr>
        <w:t xml:space="preserve">В Карачаево-Черкесское УФАС России поступила жалоба </w:t>
      </w:r>
      <w:r w:rsidRPr="00FD06F5">
        <w:rPr>
          <w:color w:val="auto"/>
        </w:rPr>
        <w:t xml:space="preserve">Заявителя </w:t>
      </w:r>
      <w:r w:rsidRPr="00FD06F5">
        <w:rPr>
          <w:color w:val="000000"/>
        </w:rPr>
        <w:t xml:space="preserve">на действия Конкурсной комиссии Заказчика </w:t>
      </w:r>
      <w:r w:rsidRPr="00FD06F5">
        <w:rPr>
          <w:bCs/>
          <w:color w:val="000000"/>
        </w:rPr>
        <w:t>при проведении конкурса.</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В жалобе Заявитель указал на неправомерные действия Конкурсной комиссии Заказчика, по основаниям, изложенным в жалобе.</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 xml:space="preserve">Заказчиком установлен порядок рассмотрения и оценки заявок на участие в конкурсе, в том числе положение о применении критерия оценки, показателя оценки, детализирующего показатель оценки: «Порядок оценки заявок (предложений) по показателю оценки «качественные характеристики объекта закупки»: комиссия оценивает сведения по показателям путем изучения данных, представленных в заявке (предложении) на участие в конкурсе (с учетом прилагаемых документов, представленных в подтверждение сведений, в случае их наличия), и выставляет баллы каждой заявке (предложению) в зависимости от представленных сведений. Оценка по показателю оценки «качественные характеристики объекта закупки» будет производиться членами комиссии на основании предложений участника закупки, представленных в заявке. В случае если </w:t>
      </w:r>
      <w:r w:rsidRPr="00FD06F5">
        <w:rPr>
          <w:rFonts w:ascii="Times New Roman" w:eastAsia="Times New Roman" w:hAnsi="Times New Roman" w:cs="Times New Roman"/>
          <w:sz w:val="28"/>
          <w:szCs w:val="28"/>
        </w:rPr>
        <w:lastRenderedPageBreak/>
        <w:t>данные сведения о качественных характеристиках объекта закупки не представлены или представлены, но содержат в себе преимущественно подтверждение соответствия положениям и/или цитирование (ссылки) положений описания объекта закупки, не соответствуют требованиям действующих на территории Российской Федерации нормативных документов, правил и стандартов в области деятельности составляющей предмет данной закупки, а также содержат ссылки на недействующие на территории Российской Федерации нормативных документов, правил и стандартов в области деятельности составляющей предмет данной закупки комиссия присваивает такой заявке 0 баллов по данному показателю и критерию оценки».</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 xml:space="preserve">В соответствии с протоколом рассмотрения и оценки первых частей заявок на участие в электронном конкурсе, заявке с идентификационным номером №2 присвоено первой части заявки значение по критерию оценки - 0 баллов. </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 xml:space="preserve">В своих возражениях представитель Заказчика сообщил, что по критерию оценки «Качественные, функциональные и экологические характеристики объекта закупки» Заявителю было присвоено 0 баллов по следующим причинам. </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 xml:space="preserve">Согласно порядку оценки конкурсных заявок Заказчиком установлено следующее положение: «В случае если данные сведения о качественных характеристиках объекта закупки не представлены или представлены, но содержат в себе преимущественно подтверждение соответствия положениям и/или цитирование (ссылки) положений описания объекта закупки, не соответствуют требованиям действующих на территории Российской Федерации нормативных документов, правил и стандартов в области деятельности составляющей предмет данной закупки, а также содержат ссылки на недействующие на территории Российской Федерации нормативных документов, правил и стандартов в области деятельности составляющей предмет данной закупки комиссия присваивает такой заявке 0 баллов по данному показателю и критерию оценки». В заявке Заявителя содержится ссылка на недействующий на территории Российской Федерации стандарт: ГОСТ. Согласно данным Справочно-правовой системы </w:t>
      </w:r>
      <w:proofErr w:type="gramStart"/>
      <w:r w:rsidRPr="00FD06F5">
        <w:rPr>
          <w:rFonts w:ascii="Times New Roman" w:eastAsia="Times New Roman" w:hAnsi="Times New Roman" w:cs="Times New Roman"/>
          <w:sz w:val="28"/>
          <w:szCs w:val="28"/>
        </w:rPr>
        <w:t>«ГАРАНТ»</w:t>
      </w:r>
      <w:proofErr w:type="gramEnd"/>
      <w:r w:rsidRPr="00FD06F5">
        <w:rPr>
          <w:rFonts w:ascii="Times New Roman" w:eastAsia="Times New Roman" w:hAnsi="Times New Roman" w:cs="Times New Roman"/>
          <w:sz w:val="28"/>
          <w:szCs w:val="28"/>
        </w:rPr>
        <w:t xml:space="preserve"> данный стандарт утратил силу на территории Российской Федерации. Таким </w:t>
      </w:r>
      <w:r w:rsidRPr="00FD06F5">
        <w:rPr>
          <w:rFonts w:ascii="Times New Roman" w:eastAsia="Times New Roman" w:hAnsi="Times New Roman" w:cs="Times New Roman"/>
          <w:sz w:val="28"/>
          <w:szCs w:val="28"/>
        </w:rPr>
        <w:lastRenderedPageBreak/>
        <w:t xml:space="preserve">образом, у Комиссии по рассмотрению и оценке заявок имелись более чем достаточные основания присвоить заявке участника закупки </w:t>
      </w:r>
      <w:proofErr w:type="gramStart"/>
      <w:r w:rsidRPr="00FD06F5">
        <w:rPr>
          <w:rFonts w:ascii="Times New Roman" w:eastAsia="Times New Roman" w:hAnsi="Times New Roman" w:cs="Times New Roman"/>
          <w:sz w:val="28"/>
          <w:szCs w:val="28"/>
        </w:rPr>
        <w:t>Заявителя  -</w:t>
      </w:r>
      <w:proofErr w:type="gramEnd"/>
      <w:r w:rsidRPr="00FD06F5">
        <w:rPr>
          <w:rFonts w:ascii="Times New Roman" w:eastAsia="Times New Roman" w:hAnsi="Times New Roman" w:cs="Times New Roman"/>
          <w:sz w:val="28"/>
          <w:szCs w:val="28"/>
        </w:rPr>
        <w:t xml:space="preserve"> 0 баллов.</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Участником закупки с идентификационным номером №2 в составе первой части заявки представлена форма «Качественные характеристиках объекта закупки», содержащая описание свойств объекта закупки согласно извещению о проведении открытого конкурса.</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 xml:space="preserve">Раздел 4 «Перечень нормативно-технической документации» заявки содержит сведения о точности, составе и отчетах, выполненных проектных и изыскательских работах, которые будут соответствовать требованиям нормативных документов, в том числе ГОСТу. </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 xml:space="preserve">Дополнительно в составе Раздела 4 «Перечень нормативно-технической документации» содержится сноска: «В случае выведения из действия ГОСТ, СП и других нормативных документов на основаниях, предусмотренных законодательством Российской Федерации, актуальным документом будет считаться официально его заменяющий». </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Извещением о проведении открытого конкурса в электронной форме установлено: дата и время окончания срока подачи заявок 31.08.2022 в 09-00ч.</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Согласно сведений, предоставленных оператором электронной площадки заявка с идентификационным номером №2 подана участником закупки для участия в конкурсе -  30.08.2022 в 10-50ч.</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Комиссией Карачаево-Черкесского УФАС России установлено, что ГОСТ   утратил силу с 01.09.2022 в связи с изданием Приказа Росстандарта. Взамен введен в действие ГОСТ.</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Таким образом, Комиссия Карачаево-Черкесского УФАС России приходит к выводу о том, что заявка с идентификационным номером №2 на дату и время окончания срока подачи заявок содержала сведения в действующей редакции ГОСТ.</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Из анализа заявки Заявителя следует, что в рамках критерия оценки заявок «Качественные, функциональные и экологические характеристики объекта закупки» участником закупки представлено описание видов выполнения работ, в соответствии с установленным порядком оценки.</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lastRenderedPageBreak/>
        <w:t>Следовательно, у Комиссии Заказчика отсутствовали основания для признания предложения участника закупки по критерию оценки заявок «Качественные, функциональные и экологические характеристики объекта закупки» непредставленным.</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 xml:space="preserve">Таким образом, действия Конкурсной комиссии Заказчика нарушают </w:t>
      </w:r>
      <w:hyperlink r:id="rId7" w:history="1">
        <w:r w:rsidRPr="00FD06F5">
          <w:rPr>
            <w:rFonts w:ascii="Times New Roman" w:eastAsia="Times New Roman" w:hAnsi="Times New Roman" w:cs="Times New Roman"/>
            <w:sz w:val="28"/>
            <w:szCs w:val="28"/>
          </w:rPr>
          <w:t>требования</w:t>
        </w:r>
      </w:hyperlink>
      <w:r w:rsidRPr="00FD06F5">
        <w:rPr>
          <w:rFonts w:ascii="Times New Roman" w:eastAsia="Times New Roman" w:hAnsi="Times New Roman" w:cs="Times New Roman"/>
          <w:sz w:val="28"/>
          <w:szCs w:val="28"/>
        </w:rPr>
        <w:t xml:space="preserve"> Закона о контрактной системе и содержат признаки состава административного правонарушения, </w:t>
      </w:r>
      <w:r w:rsidRPr="00FD06F5">
        <w:rPr>
          <w:rFonts w:ascii="Times New Roman" w:eastAsia="Times New Roman" w:hAnsi="Times New Roman" w:cs="Times New Roman"/>
          <w:color w:val="000000"/>
          <w:spacing w:val="10"/>
          <w:sz w:val="28"/>
          <w:szCs w:val="28"/>
        </w:rPr>
        <w:t>решила:</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1. Признать жалобу общества с ограниченной ответственностью обоснованной.</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2.</w:t>
      </w:r>
      <w:r w:rsidRPr="00FD06F5">
        <w:rPr>
          <w:rFonts w:ascii="Times New Roman" w:eastAsia="Times New Roman" w:hAnsi="Times New Roman" w:cs="Times New Roman"/>
          <w:bCs/>
          <w:sz w:val="28"/>
          <w:szCs w:val="28"/>
        </w:rPr>
        <w:t xml:space="preserve"> Признать Конкурсную комиссию Заказчика нарушившим требования </w:t>
      </w:r>
      <w:r w:rsidRPr="00FD06F5">
        <w:rPr>
          <w:rFonts w:ascii="Times New Roman" w:eastAsia="Times New Roman" w:hAnsi="Times New Roman" w:cs="Times New Roman"/>
          <w:sz w:val="28"/>
          <w:szCs w:val="28"/>
        </w:rPr>
        <w:t>Закона о контрактной системе.</w:t>
      </w:r>
    </w:p>
    <w:p w:rsidR="006E727E" w:rsidRPr="00FD06F5" w:rsidRDefault="006E727E" w:rsidP="00FD06F5">
      <w:pPr>
        <w:spacing w:after="0" w:line="360" w:lineRule="auto"/>
        <w:ind w:firstLine="567"/>
        <w:jc w:val="both"/>
        <w:rPr>
          <w:rFonts w:ascii="Times New Roman" w:eastAsia="Times New Roman" w:hAnsi="Times New Roman" w:cs="Times New Roman"/>
          <w:color w:val="000000"/>
          <w:sz w:val="28"/>
          <w:szCs w:val="28"/>
          <w:lang w:eastAsia="zh-CN"/>
        </w:rPr>
      </w:pPr>
      <w:r w:rsidRPr="00FD06F5">
        <w:rPr>
          <w:rFonts w:ascii="Times New Roman" w:eastAsia="Times New Roman" w:hAnsi="Times New Roman" w:cs="Times New Roman"/>
          <w:sz w:val="28"/>
          <w:szCs w:val="28"/>
        </w:rPr>
        <w:t xml:space="preserve">3. </w:t>
      </w:r>
      <w:r w:rsidRPr="00FD06F5">
        <w:rPr>
          <w:rFonts w:ascii="Times New Roman" w:eastAsia="Times New Roman" w:hAnsi="Times New Roman" w:cs="Times New Roman"/>
          <w:bCs/>
          <w:sz w:val="28"/>
          <w:szCs w:val="28"/>
        </w:rPr>
        <w:t xml:space="preserve">Выдать заказчику предписание об устранении нарушений Закона о контрактной системе. </w:t>
      </w:r>
    </w:p>
    <w:p w:rsidR="006E727E" w:rsidRPr="00FD06F5" w:rsidRDefault="006E727E" w:rsidP="00FD06F5">
      <w:pPr>
        <w:shd w:val="clear" w:color="auto" w:fill="FFFFFF"/>
        <w:spacing w:after="0" w:line="360" w:lineRule="auto"/>
        <w:ind w:firstLine="709"/>
        <w:jc w:val="both"/>
        <w:rPr>
          <w:rFonts w:ascii="Times New Roman" w:eastAsiaTheme="minorHAnsi" w:hAnsi="Times New Roman" w:cs="Times New Roman"/>
          <w:bCs/>
          <w:sz w:val="28"/>
          <w:szCs w:val="28"/>
          <w:lang w:eastAsia="en-US"/>
        </w:rPr>
      </w:pPr>
      <w:r w:rsidRPr="00FD06F5">
        <w:rPr>
          <w:rFonts w:ascii="Times New Roman" w:eastAsiaTheme="minorHAnsi" w:hAnsi="Times New Roman" w:cs="Times New Roman"/>
          <w:bCs/>
          <w:sz w:val="28"/>
          <w:szCs w:val="28"/>
          <w:lang w:eastAsia="en-US"/>
        </w:rPr>
        <w:t>4. Передать материалы дела должностному лицу для рассмотрения вопроса о возбуждении дела об административном правонарушении.</w:t>
      </w:r>
    </w:p>
    <w:p w:rsidR="006E727E" w:rsidRPr="00FD06F5" w:rsidRDefault="006E727E" w:rsidP="00FD06F5">
      <w:pPr>
        <w:shd w:val="clear" w:color="auto" w:fill="FFFFFF"/>
        <w:spacing w:after="0" w:line="360" w:lineRule="auto"/>
        <w:ind w:firstLine="709"/>
        <w:jc w:val="both"/>
        <w:rPr>
          <w:rFonts w:ascii="Times New Roman" w:hAnsi="Times New Roman" w:cs="Times New Roman"/>
          <w:sz w:val="28"/>
          <w:szCs w:val="28"/>
        </w:rPr>
      </w:pPr>
    </w:p>
    <w:p w:rsidR="006E727E" w:rsidRPr="00FD06F5" w:rsidRDefault="006E727E" w:rsidP="00FD06F5">
      <w:pPr>
        <w:pStyle w:val="a4"/>
        <w:spacing w:line="360" w:lineRule="auto"/>
        <w:ind w:firstLine="567"/>
        <w:jc w:val="center"/>
        <w:rPr>
          <w:b/>
          <w:bCs/>
        </w:rPr>
      </w:pPr>
      <w:r w:rsidRPr="00FD06F5">
        <w:rPr>
          <w:b/>
        </w:rPr>
        <w:t>3.</w:t>
      </w:r>
      <w:r w:rsidRPr="00FD06F5">
        <w:t xml:space="preserve"> </w:t>
      </w:r>
      <w:r w:rsidRPr="00FD06F5">
        <w:rPr>
          <w:b/>
          <w:bCs/>
        </w:rPr>
        <w:t>РНП</w:t>
      </w:r>
    </w:p>
    <w:p w:rsidR="006E727E" w:rsidRPr="00FD06F5" w:rsidRDefault="006E727E" w:rsidP="00FD06F5">
      <w:pPr>
        <w:pStyle w:val="a4"/>
        <w:spacing w:line="360" w:lineRule="auto"/>
        <w:ind w:firstLine="567"/>
      </w:pPr>
      <w:r w:rsidRPr="00FD06F5">
        <w:rPr>
          <w:bCs/>
        </w:rPr>
        <w:t xml:space="preserve">1) </w:t>
      </w:r>
      <w:r w:rsidRPr="00FD06F5">
        <w:t xml:space="preserve">В Управление Федеральной антимонопольной службы по Карачаево-Черкесской Республике также поступают обращения заказчиков о включении сведений в реестр недобросовестных подрядчиков (поставщиков, исполнителей) участников закупок. </w:t>
      </w:r>
    </w:p>
    <w:p w:rsidR="006E727E" w:rsidRPr="00FD06F5" w:rsidRDefault="006E727E" w:rsidP="00FD06F5">
      <w:pPr>
        <w:pStyle w:val="a4"/>
        <w:spacing w:line="360" w:lineRule="auto"/>
        <w:ind w:firstLine="567"/>
      </w:pPr>
    </w:p>
    <w:p w:rsidR="006E727E" w:rsidRPr="00FD06F5" w:rsidRDefault="006E727E" w:rsidP="00FD06F5">
      <w:pPr>
        <w:pStyle w:val="a4"/>
        <w:spacing w:line="360" w:lineRule="auto"/>
        <w:ind w:firstLine="567"/>
      </w:pPr>
      <w:r w:rsidRPr="00FD06F5">
        <w:t>Комиссией управления было рассмотрено обращение заказчика о включении в реестр недобросовестных поставщиков сведений в отношении общества с ограниченной ответственностью в связи с односторонним отказом заказчика от исполнения контракта по предмету: «Капитальный ремонт здания».</w:t>
      </w:r>
    </w:p>
    <w:p w:rsidR="006E727E" w:rsidRPr="00FD06F5" w:rsidRDefault="006E727E" w:rsidP="00FD06F5">
      <w:pPr>
        <w:pStyle w:val="a4"/>
        <w:spacing w:line="360" w:lineRule="auto"/>
        <w:ind w:firstLine="567"/>
      </w:pPr>
      <w:r w:rsidRPr="00FD06F5">
        <w:t>В соответствии со ст.104 Закона о контрактной системе заказчик либо уполномоченный орган или уполномоченное учреждение, наделенные полномочиями в соответствии с Законом о контрактной системе,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w:t>
      </w:r>
    </w:p>
    <w:p w:rsidR="006E727E" w:rsidRPr="00FD06F5" w:rsidRDefault="006E727E" w:rsidP="00FD06F5">
      <w:pPr>
        <w:pStyle w:val="a4"/>
        <w:spacing w:line="360" w:lineRule="auto"/>
        <w:ind w:firstLine="567"/>
        <w:rPr>
          <w:color w:val="000000"/>
        </w:rPr>
      </w:pPr>
      <w:r w:rsidRPr="00FD06F5">
        <w:t xml:space="preserve">В результате рассмотрения обращения о включении в Реестр недобросовестных поставщиков Комиссия установила следующее. </w:t>
      </w:r>
      <w:r w:rsidRPr="00FD06F5">
        <w:rPr>
          <w:color w:val="000000"/>
        </w:rPr>
        <w:t xml:space="preserve"> </w:t>
      </w:r>
    </w:p>
    <w:p w:rsidR="006E727E" w:rsidRPr="00FD06F5" w:rsidRDefault="006E727E" w:rsidP="00FD06F5">
      <w:pPr>
        <w:pStyle w:val="a4"/>
        <w:spacing w:line="360" w:lineRule="auto"/>
        <w:ind w:firstLine="567"/>
        <w:rPr>
          <w:color w:val="000000"/>
        </w:rPr>
      </w:pPr>
      <w:r w:rsidRPr="00FD06F5">
        <w:t xml:space="preserve">По результатам проведения Аукциона между заказчиком и ООО был заключен государственный контракт на капитальный ремонт здания на сумму 4 633 502, 00 рублей (далее – Контракт). </w:t>
      </w:r>
      <w:r w:rsidRPr="00FD06F5">
        <w:rPr>
          <w:color w:val="000000"/>
        </w:rPr>
        <w:t xml:space="preserve"> </w:t>
      </w:r>
    </w:p>
    <w:p w:rsidR="006E727E" w:rsidRPr="00FD06F5" w:rsidRDefault="006E727E" w:rsidP="00FD06F5">
      <w:pPr>
        <w:pStyle w:val="a4"/>
        <w:spacing w:line="360" w:lineRule="auto"/>
        <w:ind w:firstLine="567"/>
        <w:rPr>
          <w:lang w:eastAsia="ar-SA"/>
        </w:rPr>
      </w:pPr>
      <w:r w:rsidRPr="00FD06F5">
        <w:t xml:space="preserve">Согласно п.4.1 Контракта, </w:t>
      </w:r>
      <w:r w:rsidRPr="00FD06F5">
        <w:rPr>
          <w:lang w:eastAsia="ar-SA"/>
        </w:rPr>
        <w:t>работы по настоящему контракту выполняются подрядчиком с 01.01.2021 по 30.03.2021. Никакие задержки и нарушения сроков выполнения работ не могут служить основанием для требования подрядчика о продлении срока выполнения работ. Выполнение работ досрочно возможно только по согласованию с заказчиком.</w:t>
      </w:r>
    </w:p>
    <w:p w:rsidR="006E727E" w:rsidRPr="00FD06F5" w:rsidRDefault="006E727E" w:rsidP="00FD06F5">
      <w:pPr>
        <w:pStyle w:val="a4"/>
        <w:spacing w:line="360" w:lineRule="auto"/>
        <w:ind w:firstLine="567"/>
      </w:pPr>
      <w:r w:rsidRPr="00FD06F5">
        <w:t>В соответствии с условиями Контракта подрядчик принял обязательства осуществить капитальный ремонт здания.</w:t>
      </w:r>
    </w:p>
    <w:p w:rsidR="006E727E" w:rsidRPr="00FD06F5" w:rsidRDefault="006E727E" w:rsidP="00FD06F5">
      <w:pPr>
        <w:pStyle w:val="a4"/>
        <w:spacing w:line="360" w:lineRule="auto"/>
        <w:ind w:firstLine="567"/>
      </w:pPr>
      <w:r w:rsidRPr="00FD06F5">
        <w:t>В материалы дела заказчиком представлены дополнительные соглашения об изменении сроков выполнения работ с 01.05.2021 по 26.07.2021, об изменении (уменьшении) объема и видов выполняемых работ, а также цены в рамках 10%; требования (претензии) об уплате неустойки (штрафа, пени), претензии, письма о требовании выполнения Контракта в срок до 22.11.2021. Представленные заказчиком документы имеют отметку о получении, дату и подпись представителя ООО.</w:t>
      </w:r>
    </w:p>
    <w:p w:rsidR="006E727E" w:rsidRPr="00FD06F5" w:rsidRDefault="006E727E" w:rsidP="00FD06F5">
      <w:pPr>
        <w:pStyle w:val="a4"/>
        <w:spacing w:line="360" w:lineRule="auto"/>
        <w:ind w:firstLine="567"/>
      </w:pPr>
      <w:r w:rsidRPr="00FD06F5">
        <w:t>Также представлены в материалы дела заказчиком платежные поручения об уплате штрафов по Контракту.</w:t>
      </w:r>
    </w:p>
    <w:p w:rsidR="006E727E" w:rsidRPr="00FD06F5" w:rsidRDefault="006E727E" w:rsidP="00FD06F5">
      <w:pPr>
        <w:pStyle w:val="a4"/>
        <w:spacing w:line="360" w:lineRule="auto"/>
        <w:ind w:firstLine="567"/>
      </w:pPr>
      <w:r w:rsidRPr="00FD06F5">
        <w:t xml:space="preserve">Согласно ч.9 ст.95 Закона о контрактной системе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t>
      </w:r>
    </w:p>
    <w:p w:rsidR="006E727E" w:rsidRPr="00FD06F5" w:rsidRDefault="006E727E" w:rsidP="00FD06F5">
      <w:pPr>
        <w:pStyle w:val="a4"/>
        <w:spacing w:line="360" w:lineRule="auto"/>
        <w:ind w:firstLine="567"/>
      </w:pPr>
      <w:r w:rsidRPr="00FD06F5">
        <w:t xml:space="preserve">Разделом 10 «Порядок расторжения контракта» Контракта установлены условия расторжения контракта. </w:t>
      </w:r>
    </w:p>
    <w:p w:rsidR="006E727E" w:rsidRPr="00FD06F5" w:rsidRDefault="006E727E" w:rsidP="00FD06F5">
      <w:pPr>
        <w:pStyle w:val="a4"/>
        <w:spacing w:line="360" w:lineRule="auto"/>
        <w:ind w:firstLine="567"/>
      </w:pPr>
      <w:r w:rsidRPr="00FD06F5">
        <w:t>Пунктом 10.1 Контракта установлено, что 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6E727E" w:rsidRPr="00FD06F5" w:rsidRDefault="006E727E" w:rsidP="00FD06F5">
      <w:pPr>
        <w:pStyle w:val="a4"/>
        <w:spacing w:line="360" w:lineRule="auto"/>
        <w:ind w:firstLine="567"/>
      </w:pPr>
      <w:r w:rsidRPr="00FD06F5">
        <w:t>Пунктом 10.2 Контракта установлено, что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w:t>
      </w:r>
    </w:p>
    <w:p w:rsidR="006E727E" w:rsidRPr="00FD06F5" w:rsidRDefault="006E727E" w:rsidP="00FD06F5">
      <w:pPr>
        <w:pStyle w:val="a4"/>
        <w:spacing w:line="360" w:lineRule="auto"/>
        <w:ind w:firstLine="567"/>
      </w:pPr>
      <w:r w:rsidRPr="00FD06F5">
        <w:t xml:space="preserve">В силу </w:t>
      </w:r>
      <w:hyperlink r:id="rId8" w:history="1">
        <w:r w:rsidRPr="00FD06F5">
          <w:t>ст.ст.309</w:t>
        </w:r>
      </w:hyperlink>
      <w:r w:rsidRPr="00FD06F5">
        <w:t xml:space="preserve"> и </w:t>
      </w:r>
      <w:hyperlink r:id="rId9" w:history="1">
        <w:r w:rsidRPr="00FD06F5">
          <w:t>310</w:t>
        </w:r>
      </w:hyperlink>
      <w:r w:rsidRPr="00FD06F5">
        <w:t xml:space="preserve"> Гражданского кодекса Российской Федерации  (далее – ГК РФ)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ГК РФ, другими законами или иными правовыми актами. </w:t>
      </w:r>
    </w:p>
    <w:p w:rsidR="006E727E" w:rsidRPr="00FD06F5" w:rsidRDefault="006E727E" w:rsidP="00FD06F5">
      <w:pPr>
        <w:pStyle w:val="a4"/>
        <w:spacing w:line="360" w:lineRule="auto"/>
        <w:ind w:firstLine="567"/>
      </w:pPr>
      <w:r w:rsidRPr="00FD06F5">
        <w:t xml:space="preserve">Согласно ч.1 </w:t>
      </w:r>
      <w:hyperlink r:id="rId10" w:history="1">
        <w:r w:rsidRPr="00FD06F5">
          <w:t>ст.708</w:t>
        </w:r>
      </w:hyperlink>
      <w:r w:rsidRPr="00FD06F5">
        <w:t xml:space="preserve"> ГК РФ в договоре подряда указываются начальный и конечный сроки выполнения работы. По согласованию между сторонами в договоре могут быть предусмотрены также сроки завершения отдельных этапов работы (промежуточные сроки).  </w:t>
      </w:r>
    </w:p>
    <w:p w:rsidR="006E727E" w:rsidRPr="00FD06F5" w:rsidRDefault="006E727E" w:rsidP="00FD06F5">
      <w:pPr>
        <w:pStyle w:val="a4"/>
        <w:spacing w:line="360" w:lineRule="auto"/>
        <w:ind w:firstLine="567"/>
      </w:pPr>
      <w:r w:rsidRPr="00FD06F5">
        <w:t xml:space="preserve">Подрядчик несет ответственность за нарушение как начального и конечного, так и промежуточных сроков выполнения работы.   </w:t>
      </w:r>
    </w:p>
    <w:p w:rsidR="006E727E" w:rsidRPr="00FD06F5" w:rsidRDefault="006E727E" w:rsidP="00FD06F5">
      <w:pPr>
        <w:pStyle w:val="a4"/>
        <w:spacing w:line="360" w:lineRule="auto"/>
        <w:ind w:firstLine="567"/>
      </w:pPr>
      <w:r w:rsidRPr="00FD06F5">
        <w:t xml:space="preserve">В соответствии с ч.2 ст.715 ГК РФ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   </w:t>
      </w:r>
    </w:p>
    <w:p w:rsidR="006E727E" w:rsidRPr="00FD06F5" w:rsidRDefault="006E727E" w:rsidP="00FD06F5">
      <w:pPr>
        <w:pStyle w:val="a4"/>
        <w:spacing w:line="360" w:lineRule="auto"/>
        <w:ind w:firstLine="567"/>
      </w:pPr>
      <w:r w:rsidRPr="00FD06F5">
        <w:t xml:space="preserve">На дату принятия заказчиком решения об одностороннем отказе от исполнения контракта, подрядчиком выполнены работы на сумму 2 291 095, 00 рублей, что подтверждается справкой о стоимости выполненных работ и затрат (унифицированная форма №КС-3 от 27.12.2021 №5). Объем выполненных подрядчиком работ по государственному контракту на капитальный ремонт здания составляет 54, 37%. </w:t>
      </w:r>
    </w:p>
    <w:p w:rsidR="006E727E" w:rsidRPr="00FD06F5" w:rsidRDefault="006E727E" w:rsidP="00FD06F5">
      <w:pPr>
        <w:pStyle w:val="a4"/>
        <w:spacing w:line="360" w:lineRule="auto"/>
        <w:ind w:firstLine="567"/>
      </w:pPr>
      <w:r w:rsidRPr="00FD06F5">
        <w:t xml:space="preserve">Так как подрядчиком допущено неоднократное нарушение сроков выполнения работ по Контракту, и по настоящее время работы по контракту в полном объеме не выполнены, заказчиком принято решение об одностороннем отказе от исполнения Контракта. </w:t>
      </w:r>
    </w:p>
    <w:p w:rsidR="006E727E" w:rsidRPr="00FD06F5" w:rsidRDefault="006E727E" w:rsidP="00FD06F5">
      <w:pPr>
        <w:pStyle w:val="a4"/>
        <w:spacing w:line="360" w:lineRule="auto"/>
        <w:ind w:firstLine="567"/>
      </w:pPr>
      <w:r w:rsidRPr="00FD06F5">
        <w:t xml:space="preserve">На основании вышеизложенного в соответствии п.п.10.1, 10.2 Контракта, ч.8, ч.9 Закона о контрактной системе, ст.ст.309, 310, 715, 717 ГК РФ 18.01.2022 заказчиком было принято решение об одностороннем отказе от исполнения Контракта в связи с существенными нарушениями подрядчиком условий Контракта. </w:t>
      </w:r>
    </w:p>
    <w:p w:rsidR="006E727E" w:rsidRPr="00FD06F5" w:rsidRDefault="006E727E" w:rsidP="00FD06F5">
      <w:pPr>
        <w:pStyle w:val="a4"/>
        <w:spacing w:line="360" w:lineRule="auto"/>
        <w:ind w:firstLine="567"/>
      </w:pPr>
      <w:r w:rsidRPr="00FD06F5">
        <w:t xml:space="preserve">В соответствии с частью 12 статьи 95 Закона о контрактной системе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w:t>
      </w:r>
      <w:hyperlink r:id="rId11" w:history="1">
        <w:r w:rsidRPr="00FD06F5">
          <w:t>направляется</w:t>
        </w:r>
      </w:hyperlink>
      <w:r w:rsidRPr="00FD06F5">
        <w:t xml:space="preserve">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 </w:t>
      </w:r>
    </w:p>
    <w:p w:rsidR="006E727E" w:rsidRPr="00FD06F5" w:rsidRDefault="006E727E" w:rsidP="00FD06F5">
      <w:pPr>
        <w:pStyle w:val="a4"/>
        <w:spacing w:line="360" w:lineRule="auto"/>
        <w:ind w:firstLine="567"/>
      </w:pPr>
      <w:r w:rsidRPr="00FD06F5">
        <w:t xml:space="preserve">Заказчик в регламентированные сроки разместил решение об одностороннем отказе от исполнения контракта в разделе «Дополнительная информация о закупках» и в реестре контрактов в ЕИС. </w:t>
      </w:r>
    </w:p>
    <w:p w:rsidR="006E727E" w:rsidRPr="00FD06F5" w:rsidRDefault="006E727E" w:rsidP="00FD06F5">
      <w:pPr>
        <w:pStyle w:val="a4"/>
        <w:spacing w:line="360" w:lineRule="auto"/>
        <w:ind w:firstLine="567"/>
      </w:pPr>
      <w:r w:rsidRPr="00FD06F5">
        <w:t>На адрес электронной почты подрядчика указанный в Контракте (заказчиком было направлено решение об одностороннем отказе от исполнения контракта.</w:t>
      </w:r>
    </w:p>
    <w:p w:rsidR="006E727E" w:rsidRPr="00FD06F5" w:rsidRDefault="006E727E" w:rsidP="00FD06F5">
      <w:pPr>
        <w:pStyle w:val="a4"/>
        <w:spacing w:line="360" w:lineRule="auto"/>
        <w:ind w:firstLine="567"/>
      </w:pPr>
      <w:r w:rsidRPr="00FD06F5">
        <w:t xml:space="preserve">Дополнительно, Заказчиком на почтовый адрес подрядчика указанный в Контракте заказным письмом с уведомлением было отправлено решение об одностороннем отказе от исполнения контракта. </w:t>
      </w:r>
    </w:p>
    <w:p w:rsidR="006E727E" w:rsidRPr="00FD06F5" w:rsidRDefault="006E727E" w:rsidP="00FD06F5">
      <w:pPr>
        <w:pStyle w:val="a4"/>
        <w:spacing w:line="360" w:lineRule="auto"/>
        <w:ind w:firstLine="567"/>
        <w:rPr>
          <w:bCs/>
        </w:rPr>
      </w:pPr>
      <w:r w:rsidRPr="00FD06F5">
        <w:t xml:space="preserve">Позднее </w:t>
      </w:r>
      <w:r w:rsidRPr="00FD06F5">
        <w:rPr>
          <w:bCs/>
        </w:rPr>
        <w:t xml:space="preserve">Заказчиком получено подтверждение получения письма подрядчиком. </w:t>
      </w:r>
    </w:p>
    <w:p w:rsidR="006E727E" w:rsidRPr="00FD06F5" w:rsidRDefault="006E727E" w:rsidP="00FD06F5">
      <w:pPr>
        <w:pStyle w:val="a4"/>
        <w:spacing w:line="360" w:lineRule="auto"/>
        <w:ind w:firstLine="567"/>
      </w:pPr>
      <w:r w:rsidRPr="00FD06F5">
        <w:t xml:space="preserve">Таким образом, Комиссия приходит к выводу о том, что заказчик надлежащим образом исполнил свои обязанности по информированию подрядчика об одностороннем отказе от исполнения контракта. </w:t>
      </w:r>
    </w:p>
    <w:p w:rsidR="006E727E" w:rsidRPr="00FD06F5" w:rsidRDefault="006E727E" w:rsidP="00FD06F5">
      <w:pPr>
        <w:pStyle w:val="a4"/>
        <w:spacing w:line="360" w:lineRule="auto"/>
        <w:ind w:firstLine="567"/>
        <w:rPr>
          <w:bCs/>
        </w:rPr>
      </w:pPr>
      <w:r w:rsidRPr="00FD06F5">
        <w:t>В соответствии с ч.13 ст.95 Закона о контрактной системе,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r w:rsidRPr="00FD06F5">
        <w:rPr>
          <w:bCs/>
        </w:rPr>
        <w:t xml:space="preserve"> </w:t>
      </w:r>
    </w:p>
    <w:p w:rsidR="006E727E" w:rsidRPr="00FD06F5" w:rsidRDefault="006E727E" w:rsidP="00FD06F5">
      <w:pPr>
        <w:pStyle w:val="a4"/>
        <w:spacing w:line="360" w:lineRule="auto"/>
        <w:ind w:firstLine="567"/>
        <w:rPr>
          <w:bCs/>
        </w:rPr>
      </w:pPr>
      <w:r w:rsidRPr="00FD06F5">
        <w:t>Таким образом, в соответствии с требованиями ч.13 ст.95 Закона о контрактной системе решение об одностороннем отказе от исполнения контракта вступает в силу, и контракт считается расторгнутым.</w:t>
      </w:r>
      <w:r w:rsidRPr="00FD06F5">
        <w:rPr>
          <w:bCs/>
        </w:rPr>
        <w:t xml:space="preserve">  </w:t>
      </w:r>
    </w:p>
    <w:p w:rsidR="006E727E" w:rsidRPr="00FD06F5" w:rsidRDefault="006E727E" w:rsidP="00FD06F5">
      <w:pPr>
        <w:pStyle w:val="a4"/>
        <w:spacing w:line="360" w:lineRule="auto"/>
        <w:ind w:firstLine="567"/>
      </w:pPr>
      <w:r w:rsidRPr="00FD06F5">
        <w:t xml:space="preserve">Комиссией установлено, что вступившее в силу решение об одностороннем отказе от исполнения контракта, принятое заказчиком, размещено в ЕИС. </w:t>
      </w:r>
    </w:p>
    <w:p w:rsidR="006E727E" w:rsidRPr="00FD06F5" w:rsidRDefault="006E727E" w:rsidP="00FD06F5">
      <w:pPr>
        <w:pStyle w:val="a4"/>
        <w:spacing w:line="360" w:lineRule="auto"/>
        <w:ind w:firstLine="567"/>
        <w:rPr>
          <w:bCs/>
        </w:rPr>
      </w:pPr>
      <w:r w:rsidRPr="00FD06F5">
        <w:t xml:space="preserve">С учетом вышеизложенного Комиссия Управления приходит к выводу о том, что </w:t>
      </w:r>
      <w:r w:rsidRPr="00FD06F5">
        <w:rPr>
          <w:bCs/>
        </w:rPr>
        <w:t xml:space="preserve">сведения, представленные заказчиком, в отношении общества с ограниченной </w:t>
      </w:r>
      <w:proofErr w:type="gramStart"/>
      <w:r w:rsidRPr="00FD06F5">
        <w:rPr>
          <w:bCs/>
        </w:rPr>
        <w:t xml:space="preserve">ответственностью, </w:t>
      </w:r>
      <w:r w:rsidRPr="00FD06F5">
        <w:t xml:space="preserve"> генерального</w:t>
      </w:r>
      <w:proofErr w:type="gramEnd"/>
      <w:r w:rsidRPr="00FD06F5">
        <w:t xml:space="preserve"> директора ООО</w:t>
      </w:r>
      <w:r w:rsidRPr="00FD06F5">
        <w:rPr>
          <w:bCs/>
        </w:rPr>
        <w:t xml:space="preserve"> подлежат включению сроком на 2 (два) года в Реестр недобросовестных поставщиков.  </w:t>
      </w:r>
    </w:p>
    <w:p w:rsidR="006E727E" w:rsidRPr="00FD06F5" w:rsidRDefault="006E727E" w:rsidP="00FD06F5">
      <w:pPr>
        <w:pStyle w:val="a4"/>
        <w:spacing w:line="360" w:lineRule="auto"/>
        <w:ind w:firstLine="567"/>
        <w:rPr>
          <w:bCs/>
        </w:rPr>
      </w:pPr>
    </w:p>
    <w:p w:rsidR="006E727E" w:rsidRPr="00FD06F5" w:rsidRDefault="006E727E" w:rsidP="00FD06F5">
      <w:pPr>
        <w:pStyle w:val="a4"/>
        <w:spacing w:line="360" w:lineRule="auto"/>
        <w:ind w:firstLine="567"/>
        <w:jc w:val="center"/>
        <w:rPr>
          <w:b/>
          <w:bCs/>
        </w:rPr>
      </w:pPr>
      <w:r w:rsidRPr="00FD06F5">
        <w:rPr>
          <w:b/>
          <w:bCs/>
        </w:rPr>
        <w:t>4. Внеплановые проверки.</w:t>
      </w:r>
    </w:p>
    <w:p w:rsidR="006E727E" w:rsidRPr="00FD06F5" w:rsidRDefault="006E727E" w:rsidP="00FD06F5">
      <w:pPr>
        <w:pStyle w:val="a4"/>
        <w:spacing w:line="360" w:lineRule="auto"/>
        <w:ind w:firstLine="567"/>
        <w:rPr>
          <w:bCs/>
        </w:rPr>
      </w:pPr>
      <w:r w:rsidRPr="00FD06F5">
        <w:rPr>
          <w:bCs/>
        </w:rPr>
        <w:t xml:space="preserve">При проведении Инспекцией Карачаево-Черкесского УФАС России внеплановых проверок, частыми нарушениями заказчиков являются следующие нарушения: </w:t>
      </w:r>
    </w:p>
    <w:p w:rsidR="006E727E" w:rsidRPr="00FD06F5" w:rsidRDefault="006E727E" w:rsidP="00FD06F5">
      <w:pPr>
        <w:pStyle w:val="a4"/>
        <w:numPr>
          <w:ilvl w:val="0"/>
          <w:numId w:val="1"/>
        </w:numPr>
        <w:suppressAutoHyphens w:val="0"/>
        <w:spacing w:line="360" w:lineRule="auto"/>
        <w:ind w:left="0" w:firstLine="709"/>
        <w:rPr>
          <w:bCs/>
        </w:rPr>
      </w:pPr>
      <w:r w:rsidRPr="00FD06F5">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санкция за выявленное нарушение установлена в размере от тридцати тысяч до пятидесяти тысяч рублей;</w:t>
      </w:r>
    </w:p>
    <w:p w:rsidR="006E727E" w:rsidRPr="00FD06F5" w:rsidRDefault="006E727E" w:rsidP="00FD06F5">
      <w:pPr>
        <w:pStyle w:val="a4"/>
        <w:numPr>
          <w:ilvl w:val="0"/>
          <w:numId w:val="1"/>
        </w:numPr>
        <w:suppressAutoHyphens w:val="0"/>
        <w:spacing w:line="360" w:lineRule="auto"/>
        <w:ind w:left="0" w:firstLine="709"/>
        <w:rPr>
          <w:bCs/>
        </w:rPr>
      </w:pPr>
      <w:r w:rsidRPr="00FD06F5">
        <w:t xml:space="preserve">ненаправление, несвоевременное направление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2" w:history="1">
        <w:r w:rsidRPr="00FD06F5">
          <w:t>сведения</w:t>
        </w:r>
      </w:hyperlink>
      <w:r w:rsidRPr="00FD06F5">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 санкция за выявленное нарушение установлена в размере двадцати тысяч рублей;</w:t>
      </w:r>
    </w:p>
    <w:p w:rsidR="006E727E" w:rsidRPr="00FD06F5" w:rsidRDefault="006E727E" w:rsidP="00FD06F5">
      <w:pPr>
        <w:pStyle w:val="a4"/>
        <w:numPr>
          <w:ilvl w:val="0"/>
          <w:numId w:val="1"/>
        </w:numPr>
        <w:suppressAutoHyphens w:val="0"/>
        <w:spacing w:line="360" w:lineRule="auto"/>
        <w:ind w:left="0" w:firstLine="709"/>
        <w:rPr>
          <w:bCs/>
        </w:rPr>
      </w:pPr>
      <w:r w:rsidRPr="00FD06F5">
        <w:t xml:space="preserve">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3" w:history="1">
        <w:r w:rsidRPr="00FD06F5">
          <w:t>законодательством</w:t>
        </w:r>
      </w:hyperlink>
      <w:r w:rsidRPr="00FD06F5">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 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6E727E" w:rsidRPr="00FD06F5" w:rsidRDefault="006E727E" w:rsidP="00FD06F5">
      <w:pPr>
        <w:pStyle w:val="a4"/>
        <w:spacing w:line="360" w:lineRule="auto"/>
        <w:rPr>
          <w:bCs/>
        </w:rPr>
      </w:pPr>
    </w:p>
    <w:p w:rsidR="006E727E" w:rsidRPr="00FD06F5" w:rsidRDefault="006E727E" w:rsidP="00FD06F5">
      <w:pPr>
        <w:pStyle w:val="a4"/>
        <w:spacing w:line="360" w:lineRule="auto"/>
        <w:ind w:firstLine="567"/>
        <w:rPr>
          <w:bCs/>
        </w:rPr>
      </w:pPr>
    </w:p>
    <w:p w:rsidR="006E727E" w:rsidRPr="00FD06F5" w:rsidRDefault="006E727E" w:rsidP="00FD06F5">
      <w:pPr>
        <w:autoSpaceDE w:val="0"/>
        <w:autoSpaceDN w:val="0"/>
        <w:adjustRightInd w:val="0"/>
        <w:spacing w:after="0" w:line="360" w:lineRule="auto"/>
        <w:ind w:firstLine="709"/>
        <w:jc w:val="both"/>
        <w:rPr>
          <w:rFonts w:ascii="Times New Roman" w:hAnsi="Times New Roman" w:cs="Times New Roman"/>
          <w:sz w:val="28"/>
          <w:szCs w:val="28"/>
        </w:rPr>
      </w:pPr>
    </w:p>
    <w:p w:rsidR="00AC184A" w:rsidRPr="00FD06F5" w:rsidRDefault="00AC184A" w:rsidP="00FD06F5">
      <w:pPr>
        <w:spacing w:line="360" w:lineRule="auto"/>
        <w:rPr>
          <w:rFonts w:ascii="Times New Roman" w:hAnsi="Times New Roman" w:cs="Times New Roman"/>
          <w:sz w:val="28"/>
          <w:szCs w:val="28"/>
        </w:rPr>
      </w:pPr>
    </w:p>
    <w:sectPr w:rsidR="00AC184A" w:rsidRPr="00FD06F5" w:rsidSect="003669B3">
      <w:footerReference w:type="default" r:id="rId14"/>
      <w:pgSz w:w="11906" w:h="16838"/>
      <w:pgMar w:top="1134" w:right="707" w:bottom="1134" w:left="1134" w:header="0" w:footer="0" w:gutter="0"/>
      <w:cols w:space="720"/>
      <w:formProt w:val="0"/>
      <w:docGrid w:linePitch="240" w:charSpace="-8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891" w:rsidRDefault="00FD06F5">
      <w:pPr>
        <w:spacing w:after="0" w:line="240" w:lineRule="auto"/>
      </w:pPr>
      <w:r>
        <w:separator/>
      </w:r>
    </w:p>
  </w:endnote>
  <w:endnote w:type="continuationSeparator" w:id="0">
    <w:p w:rsidR="00597891" w:rsidRDefault="00FD0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252080"/>
      <w:docPartObj>
        <w:docPartGallery w:val="Page Numbers (Bottom of Page)"/>
        <w:docPartUnique/>
      </w:docPartObj>
    </w:sdtPr>
    <w:sdtEndPr/>
    <w:sdtContent>
      <w:p w:rsidR="00CF62BF" w:rsidRDefault="006E727E">
        <w:pPr>
          <w:pStyle w:val="a6"/>
          <w:jc w:val="center"/>
        </w:pPr>
        <w:r>
          <w:fldChar w:fldCharType="begin"/>
        </w:r>
        <w:r>
          <w:instrText>PAGE   \* MERGEFORMAT</w:instrText>
        </w:r>
        <w:r>
          <w:fldChar w:fldCharType="separate"/>
        </w:r>
        <w:r w:rsidR="0011077C">
          <w:rPr>
            <w:noProof/>
          </w:rPr>
          <w:t>11</w:t>
        </w:r>
        <w:r>
          <w:fldChar w:fldCharType="end"/>
        </w:r>
      </w:p>
    </w:sdtContent>
  </w:sdt>
  <w:p w:rsidR="00CF62BF" w:rsidRDefault="0011077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891" w:rsidRDefault="00FD06F5">
      <w:pPr>
        <w:spacing w:after="0" w:line="240" w:lineRule="auto"/>
      </w:pPr>
      <w:r>
        <w:separator/>
      </w:r>
    </w:p>
  </w:footnote>
  <w:footnote w:type="continuationSeparator" w:id="0">
    <w:p w:rsidR="00597891" w:rsidRDefault="00FD06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D14E1"/>
    <w:multiLevelType w:val="hybridMultilevel"/>
    <w:tmpl w:val="D6368F30"/>
    <w:lvl w:ilvl="0" w:tplc="B9269404">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04B"/>
    <w:rsid w:val="0011077C"/>
    <w:rsid w:val="0020104B"/>
    <w:rsid w:val="00597891"/>
    <w:rsid w:val="006E727E"/>
    <w:rsid w:val="00AC184A"/>
    <w:rsid w:val="00FD0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070C-E1DB-42B0-8315-3AF4D7D6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27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6E727E"/>
    <w:pPr>
      <w:suppressAutoHyphens/>
      <w:spacing w:after="0" w:line="100" w:lineRule="atLeast"/>
      <w:ind w:firstLine="709"/>
      <w:jc w:val="both"/>
    </w:pPr>
    <w:rPr>
      <w:rFonts w:ascii="Times New Roman" w:eastAsia="Times New Roman" w:hAnsi="Times New Roman" w:cs="Times New Roman"/>
      <w:color w:val="00000A"/>
      <w:sz w:val="28"/>
      <w:szCs w:val="28"/>
      <w:lang w:eastAsia="ru-RU"/>
    </w:rPr>
  </w:style>
  <w:style w:type="character" w:customStyle="1" w:styleId="FontStyle13">
    <w:name w:val="Font Style13"/>
    <w:basedOn w:val="a0"/>
    <w:rsid w:val="006E727E"/>
    <w:rPr>
      <w:rFonts w:ascii="Times New Roman" w:hAnsi="Times New Roman" w:cs="Times New Roman"/>
      <w:sz w:val="26"/>
      <w:szCs w:val="26"/>
    </w:rPr>
  </w:style>
  <w:style w:type="paragraph" w:styleId="a4">
    <w:name w:val="Body Text Indent"/>
    <w:basedOn w:val="a3"/>
    <w:link w:val="a5"/>
    <w:rsid w:val="006E727E"/>
  </w:style>
  <w:style w:type="character" w:customStyle="1" w:styleId="a5">
    <w:name w:val="Основной текст с отступом Знак"/>
    <w:basedOn w:val="a0"/>
    <w:link w:val="a4"/>
    <w:rsid w:val="006E727E"/>
    <w:rPr>
      <w:rFonts w:ascii="Times New Roman" w:eastAsia="Times New Roman" w:hAnsi="Times New Roman" w:cs="Times New Roman"/>
      <w:color w:val="00000A"/>
      <w:sz w:val="28"/>
      <w:szCs w:val="28"/>
      <w:lang w:eastAsia="ru-RU"/>
    </w:rPr>
  </w:style>
  <w:style w:type="paragraph" w:styleId="a6">
    <w:name w:val="footer"/>
    <w:basedOn w:val="a"/>
    <w:link w:val="a7"/>
    <w:uiPriority w:val="99"/>
    <w:unhideWhenUsed/>
    <w:rsid w:val="006E72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E727E"/>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506698D18FC930CEEAA21C10D02672619631B69AEB0CE50A1BC6EB102E398AF3A26CB1D6F141D7E74F2FDD648B32B7BE45E92A5B501C351CQ2G" TargetMode="External"/><Relationship Id="rId13" Type="http://schemas.openxmlformats.org/officeDocument/2006/relationships/hyperlink" Target="consultantplus://offline/ref=5BDECA983BBA7D6451F9D35FEBF6C6CAD5EED9A6E27A03B607E93567B49A56869F04A47AD0F6B3AF01D84F522E60100990FBD857B4C4E571l0s7J" TargetMode="External"/><Relationship Id="rId3" Type="http://schemas.openxmlformats.org/officeDocument/2006/relationships/settings" Target="settings.xml"/><Relationship Id="rId7" Type="http://schemas.openxmlformats.org/officeDocument/2006/relationships/hyperlink" Target="consultantplus://offline/ref=33B71C941B9EAFA384BAB6C5F5FBF6F012D9029B9571E24FBD2A74A1C71B2664201AA620360562A68077F1D878EA9AAF3CBDC2A29DCEC0q8H" TargetMode="External"/><Relationship Id="rId12" Type="http://schemas.openxmlformats.org/officeDocument/2006/relationships/hyperlink" Target="consultantplus://offline/ref=177DDCE57DC4AB175F538C1640B8D0C9B4432E1BB627DFAF4B483B0B9234E948B5417033FCA4FC3EBC9218BCC15A81F19628C0246BE02726kF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4F51A6CACD426E1F4161686C9B2C7DF535EEA6CCE08D08E98700FF8DA171EFF81BEAA34CB0AE04991CE96762CCA18D2DA20217BC8D7B503229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EE5CB98E5C1C147FFBB70D6331750BB5070559009F0EABDB9902952C391E41C68F9A0606B1D057BF6FE2F143EFE8B4F51B865CD80F21FF6V5LBG" TargetMode="External"/><Relationship Id="rId4" Type="http://schemas.openxmlformats.org/officeDocument/2006/relationships/webSettings" Target="webSettings.xml"/><Relationship Id="rId9" Type="http://schemas.openxmlformats.org/officeDocument/2006/relationships/hyperlink" Target="consultantplus://offline/ref=8F506698D18FC930CEEAA21C10D02672619631B69AEB0CE50A1BC6EB102E398AF3A26CB1D6F545D0EC102AC875D33DBCA95AEA3647521E13Q7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11</Pages>
  <Words>3031</Words>
  <Characters>17281</Characters>
  <Application>Microsoft Office Word</Application>
  <DocSecurity>0</DocSecurity>
  <Lines>144</Lines>
  <Paragraphs>40</Paragraphs>
  <ScaleCrop>false</ScaleCrop>
  <Company/>
  <LinksUpToDate>false</LinksUpToDate>
  <CharactersWithSpaces>20272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Петровна Немчинова</dc:creator>
  <cp:keywords/>
  <dc:description/>
  <cp:lastModifiedBy>Бичоева Стелла Ир-Сеновна</cp:lastModifiedBy>
  <cp:revision>4</cp:revision>
  <dcterms:created xsi:type="dcterms:W3CDTF">2022-11-24T14:51:00Z</dcterms:created>
  <dcterms:modified xsi:type="dcterms:W3CDTF">2023-08-21T10:59:00Z</dcterms:modified>
</cp:coreProperties>
</file>